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74" w:rsidRDefault="006D14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1474" w:rsidRDefault="006D1474">
      <w:pPr>
        <w:pStyle w:val="ConsPlusNormal"/>
        <w:outlineLvl w:val="0"/>
      </w:pPr>
    </w:p>
    <w:p w:rsidR="006D1474" w:rsidRDefault="006D14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1474" w:rsidRDefault="006D1474">
      <w:pPr>
        <w:pStyle w:val="ConsPlusTitle"/>
        <w:jc w:val="center"/>
      </w:pPr>
    </w:p>
    <w:p w:rsidR="006D1474" w:rsidRDefault="006D1474">
      <w:pPr>
        <w:pStyle w:val="ConsPlusTitle"/>
        <w:jc w:val="center"/>
      </w:pPr>
      <w:r>
        <w:t>ПОСТАНОВЛЕНИЕ</w:t>
      </w:r>
    </w:p>
    <w:p w:rsidR="006D1474" w:rsidRDefault="006D1474">
      <w:pPr>
        <w:pStyle w:val="ConsPlusTitle"/>
        <w:jc w:val="center"/>
      </w:pPr>
      <w:r>
        <w:t>от 13 сентября 2021 г. N 1549</w:t>
      </w:r>
    </w:p>
    <w:p w:rsidR="006D1474" w:rsidRDefault="006D1474">
      <w:pPr>
        <w:pStyle w:val="ConsPlusTitle"/>
        <w:ind w:firstLine="540"/>
        <w:jc w:val="both"/>
      </w:pPr>
    </w:p>
    <w:p w:rsidR="006D1474" w:rsidRDefault="006D1474">
      <w:pPr>
        <w:pStyle w:val="ConsPlusTitle"/>
        <w:jc w:val="center"/>
      </w:pPr>
      <w:r>
        <w:t>О ВНЕСЕНИИ ИЗМЕНЕНИЙ</w:t>
      </w:r>
    </w:p>
    <w:p w:rsidR="006D1474" w:rsidRDefault="006D1474">
      <w:pPr>
        <w:pStyle w:val="ConsPlusTitle"/>
        <w:jc w:val="center"/>
      </w:pPr>
      <w:r>
        <w:t>В НЕКОТОРЫЕ АКТЫ ПРАВИТЕЛЬСТВА РОССИЙСКОЙ ФЕДЕРАЦИИ</w:t>
      </w: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2. Федеральной антимонопольной службе в месячный срок привести методические указания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в соответствие с настоящим постановлением.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jc w:val="right"/>
      </w:pPr>
      <w:r>
        <w:t>Председатель Правительства</w:t>
      </w:r>
    </w:p>
    <w:p w:rsidR="006D1474" w:rsidRDefault="006D1474">
      <w:pPr>
        <w:pStyle w:val="ConsPlusNormal"/>
        <w:jc w:val="right"/>
      </w:pPr>
      <w:r>
        <w:t>Российской Федерации</w:t>
      </w:r>
    </w:p>
    <w:p w:rsidR="006D1474" w:rsidRDefault="006D1474">
      <w:pPr>
        <w:pStyle w:val="ConsPlusNormal"/>
        <w:jc w:val="right"/>
      </w:pPr>
      <w:r>
        <w:t>М.МИШУСТИН</w:t>
      </w: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ind w:firstLine="540"/>
        <w:jc w:val="both"/>
      </w:pPr>
    </w:p>
    <w:p w:rsidR="006D1474" w:rsidRDefault="006D1474">
      <w:pPr>
        <w:pStyle w:val="ConsPlusNormal"/>
        <w:jc w:val="right"/>
        <w:outlineLvl w:val="0"/>
      </w:pPr>
      <w:r>
        <w:t>Утверждены</w:t>
      </w:r>
    </w:p>
    <w:p w:rsidR="006D1474" w:rsidRDefault="006D1474">
      <w:pPr>
        <w:pStyle w:val="ConsPlusNormal"/>
        <w:jc w:val="right"/>
      </w:pPr>
      <w:r>
        <w:t>постановлением Правительства</w:t>
      </w:r>
    </w:p>
    <w:p w:rsidR="006D1474" w:rsidRDefault="006D1474">
      <w:pPr>
        <w:pStyle w:val="ConsPlusNormal"/>
        <w:jc w:val="right"/>
      </w:pPr>
      <w:r>
        <w:t>Российской Федерации</w:t>
      </w:r>
    </w:p>
    <w:p w:rsidR="006D1474" w:rsidRDefault="006D1474">
      <w:pPr>
        <w:pStyle w:val="ConsPlusNormal"/>
        <w:jc w:val="right"/>
      </w:pPr>
      <w:r>
        <w:t>от 13 сентября 2021 г. N 1549</w:t>
      </w:r>
    </w:p>
    <w:p w:rsidR="006D1474" w:rsidRDefault="006D1474">
      <w:pPr>
        <w:pStyle w:val="ConsPlusNormal"/>
        <w:jc w:val="right"/>
      </w:pPr>
    </w:p>
    <w:p w:rsidR="006D1474" w:rsidRDefault="006D1474">
      <w:pPr>
        <w:pStyle w:val="ConsPlusTitle"/>
        <w:jc w:val="center"/>
      </w:pPr>
      <w:bookmarkStart w:id="0" w:name="P27"/>
      <w:bookmarkEnd w:id="0"/>
      <w:r>
        <w:t>ИЗМЕНЕНИЯ,</w:t>
      </w:r>
    </w:p>
    <w:p w:rsidR="006D1474" w:rsidRDefault="006D147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D1474" w:rsidRDefault="006D1474">
      <w:pPr>
        <w:pStyle w:val="ConsPlusNormal"/>
        <w:jc w:val="center"/>
      </w:pPr>
    </w:p>
    <w:p w:rsidR="006D1474" w:rsidRDefault="006D1474">
      <w:pPr>
        <w:pStyle w:val="ConsPlusNormal"/>
        <w:ind w:firstLine="540"/>
        <w:jc w:val="both"/>
      </w:pPr>
      <w:r>
        <w:t xml:space="preserve">1. В Основных </w:t>
      </w:r>
      <w:hyperlink r:id="rId5">
        <w:r>
          <w:rPr>
            <w:color w:val="0000FF"/>
          </w:rPr>
          <w:t>положениях</w:t>
        </w:r>
      </w:hyperlink>
      <w:r>
        <w:t xml:space="preserve">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постановлением Правительства Российской Федерации от 29 декабря 2000 г.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 (Собрание законодательства Российской Федерации, 2001, N 2, ст. 175; 2002, N 21, ст. 2001; 2006, N 50, ст. 5354; 2007, N 23, ст. 2798; 2008, N 50, ст. 5971; 2009, N 5, ст. 618; N 30, ст. 3842; 2010, N 49, ст. 6520; 2011, N 8, ст. 1109; N 35, ст. 5078; N 48, ст. 6943; 2012, N 6, ст. 682; N 17, ст. 1997; 2013, N 47, ст. 6104; 2014, N 2, ст. 137; N 18, ст. 2185; N 26, ст. 3566; N 43, ст. 5909; N 50, ст. 7094; 2015, N 37, ст. 5153; 2016, N 22, ст. 3211; 2018, N 1, ст. 390; N 6, ст. 897; N 45, ст. 6942; N 51, ст. 7991; N 53, ст. 8666; 2019, N 8, ст. 801; N 37, ст. 5174; 2020, N 13, ст. 1919; 2021, N 13, ст. 2251):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дополнить</w:t>
        </w:r>
      </w:hyperlink>
      <w:r>
        <w:t xml:space="preserve"> пунктом 15(8) следующего содержания: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"15(8). При определении тарифов на услуги по транспортировке газа по газораспределительным сетям учитываются расходы газораспределительных организаций, связанные с эксплуатацией объектов, строительство (реконструкция) которых предусмотрено межрегиональными или региональными программами газификации жилищно-коммунального хозяйства, промышленных и иных организаций.";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б) в </w:t>
      </w:r>
      <w:hyperlink r:id="rId7">
        <w:r>
          <w:rPr>
            <w:color w:val="0000FF"/>
          </w:rPr>
          <w:t>пункте 26(21)</w:t>
        </w:r>
      </w:hyperlink>
      <w:r>
        <w:t>:</w:t>
      </w:r>
    </w:p>
    <w:p w:rsidR="006D1474" w:rsidRDefault="006D1474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lastRenderedPageBreak/>
        <w:t>"26(21). В целях определения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в отношении заявителей, указанных в абзаце первом пункта 26(22) настоящих Основных положений, газораспределительные организации ежегодно, не позднее 1 октября, представляют в органы исполнительной власти субъектов Российской Федерации в области государственного регулирования цен (тарифов)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утверждаемыми федеральным органом исполнительной власти в области государственного регулирования цен (тарифов).";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в предложении первом </w:t>
      </w:r>
      <w:hyperlink r:id="rId9">
        <w:r>
          <w:rPr>
            <w:color w:val="0000FF"/>
          </w:rPr>
          <w:t>абзаца четвертого</w:t>
        </w:r>
      </w:hyperlink>
      <w:r>
        <w:t xml:space="preserve"> слова "указанную в пункте 26(22)" заменить словами "указанную в абзаце первом пункта 26(22)";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в) в </w:t>
      </w:r>
      <w:hyperlink r:id="rId10">
        <w:r>
          <w:rPr>
            <w:color w:val="0000FF"/>
          </w:rPr>
          <w:t>пункте 26(22)</w:t>
        </w:r>
      </w:hyperlink>
      <w:r>
        <w:t>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предложение первое </w:t>
      </w:r>
      <w:hyperlink r:id="rId11">
        <w:r>
          <w:rPr>
            <w:color w:val="0000FF"/>
          </w:rPr>
          <w:t>абзаца первого</w:t>
        </w:r>
      </w:hyperlink>
      <w:r>
        <w:t xml:space="preserve"> после слов "(для прочих заявителей)," дополнить словами "если иное не установлено настоящим пунктом,";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после </w:t>
      </w:r>
      <w:hyperlink r:id="rId12">
        <w:r>
          <w:rPr>
            <w:color w:val="0000FF"/>
          </w:rPr>
          <w:t>абзаца первого</w:t>
        </w:r>
      </w:hyperlink>
      <w:r>
        <w:t xml:space="preserve"> дополнить абзацами следующего содержания: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"Подключение (технологическое присоединение)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при условии, что в населенном пункте, в котором располагается домовладение заявителя, проложены газораспределительные сети, по которым осуществляется транспортировка газа,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котором расположено это домовладение.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Подключение (технологическое присоединение) газоиспользующего оборудования указанных физических лиц также осуществляется без взимания с них средств по договорам о подключении (технологическом присоединении) объекта капитального строительства к газораспределительным сетям, которые заключены после 21 апреля 2021 г. и по которым акты о подключении (технологическом присоединении) не подписаны (в случае направления такими лицами обращения к исполнителю с просьбой о включении в договор о подключении условия о бесплатности оказания услуг по подключению (технологическому присоединению) к сетям газораспределения до границ земельного участка, на котором расположено домовладение).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Компенсация выпадающих доходов газораспределительной организации на выполнение мероприятий, подлежащих осуществлению в ходе технологического присоединения указанной в абзаце втором настоящего пункта категории заявителей, производится в порядке, приведенном в абзаце двенадцатом настоящего пункта, и осуществляется до 1 января 2024 г.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Физические лица могут осуществить подключение (технологическое присоединение) газоиспользующего оборудования в соответствии с абзацем вторым настоящего пункта не более одного раза в течение 3 лет.";</w:t>
      </w:r>
    </w:p>
    <w:p w:rsidR="006D1474" w:rsidRDefault="006D1474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абзац четвертый</w:t>
        </w:r>
      </w:hyperlink>
      <w:r>
        <w:t xml:space="preserve"> заменить текстом следующего содержания: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"Указанные расчеты представляются в регулирующий орган, который в своем решении отражает: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для заявителей, указанных в абзаце первом настоящего пункта, - размер экономически обоснованной платы, а также соответствующие выпадающие доходы газораспределительной организации от присоединения указанного газоиспользующего оборудования (при их возникновении);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для заявителей, указанных в абзаце втором настоящего пункта, - размер экономически обоснованных расходов на выполнение мероприятий, подлежащих осуществлению в ходе технологического присоединения, не покрытых финансовыми средствами, получаемыми </w:t>
      </w:r>
      <w:r>
        <w:lastRenderedPageBreak/>
        <w:t>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сетям, а также получаемыми газораспределительными организациями от иных источников финансирования.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присоединение, плата для потребителей, указанных в абзаце первом настоящего пункта, устанавливается в размере экономически обоснованной платы.";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абзаце пятом</w:t>
        </w:r>
      </w:hyperlink>
      <w:r>
        <w:t>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в предложении втором слова ", но не более 70 процентов указанных средств," исключить;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в предложении третьем слова "70 процентов" исключить;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г) </w:t>
      </w:r>
      <w:hyperlink r:id="rId15">
        <w:r>
          <w:rPr>
            <w:color w:val="0000FF"/>
          </w:rPr>
          <w:t>абзац пятый пункта 26(23)</w:t>
        </w:r>
      </w:hyperlink>
      <w:r>
        <w:t xml:space="preserve"> дополнить словами ", и (или) в границах зон охраны памятников историко-культурного наследия";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д) </w:t>
      </w:r>
      <w:hyperlink r:id="rId16">
        <w:r>
          <w:rPr>
            <w:color w:val="0000FF"/>
          </w:rPr>
          <w:t>дополнить</w:t>
        </w:r>
      </w:hyperlink>
      <w:r>
        <w:t xml:space="preserve"> пунктами 26(25) и 26(26) следующего содержания: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"26(25). Средства, получаемые от применения специальной надбавки к тарифам на услуги по транспортировке газа по газораспределительным сетям, могут быть направлены на покрытие расходов газораспределительных организаций, связанных с возвратом привлеченных заемных средств на реализацию мероприятий по технологическому присоединению газоиспользующего оборудования, указанных в абзаце втором пункта 26(22) настоящих Основных положений, и уплатой процентов за пользование ими, а также на выкуп объектов капитального строительства, построенных за счет средств единого оператора газификации или регионального оператора газификации в ходе реализации указанных мероприятий.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26(26). В целях определения экономически обоснованных расходов на выполнение мероприятий на осуществление технологического присоединения заявителей, указанных в абзаце втором пункта 26(22) настоящих Основных положений, газораспределительные организации ежеквартально, не позднее 15-го числа месяца, следующего за отчетным кварталом, представляют в органы исполнительной власти субъектов Российской Федерации в области государственного регулирования цен (тарифов)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утверждаемыми федеральным органом исполнительной власти в области государственного регулирования цен (тарифов).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Размер экономически обоснованных расходов на выполнение мероприятий, подлежащих осуществлению в ходе технологического присоединения, утверждается органом исполнительной власти субъекта Российской Федерации в области государственного регулирования цен (тарифов) в течение 1 месяца с даты поступления сведений, указанных в абзаце первом настоящего пункта.".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2. В </w:t>
      </w:r>
      <w:hyperlink r:id="rId17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3 мая 2001 г.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 (Собрание законодательства Российской Федерации, 2001, N 19, ст. 1942; 2020, N 21, ст. 3282):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абзаце третьем</w:t>
        </w:r>
      </w:hyperlink>
      <w:r>
        <w:t>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в предложении первом: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после слов "газораспределительным сетям" дополнить словами "в пределах установленного размера специальной надбавки к тарифу на транспортировку газа по газораспределительным сетям";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слова ", но не более 70 процентов общей суммы привлекаемых средств" исключить;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>предложение второе исключить;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lastRenderedPageBreak/>
        <w:t xml:space="preserve">б) в </w:t>
      </w:r>
      <w:hyperlink r:id="rId19">
        <w:r>
          <w:rPr>
            <w:color w:val="0000FF"/>
          </w:rPr>
          <w:t>абзаце шестом</w:t>
        </w:r>
      </w:hyperlink>
      <w:r>
        <w:t xml:space="preserve"> предложение второе изложить в следующей редакции: "Установление среднего размера специальной надбавки, превышающего 35 процентов (включая налог на прибыль организаций, возникающий от применения специальной надбавки) среднего размера тарифа на услуги по транспортировке газа по газораспределительным сетям, расположенным в субъектах Российской Федерации - городах Москва, Санкт-Петербург и Севастополь, для конечных потребителей, допускается исключительно по согласованию органов исполнительной власти субъекта Российской Федерации с Федеральной антимонопольной службой в соответствии с методикой, утверждаемой Федеральной антимонопольной службой.";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абзаце седьмом</w:t>
        </w:r>
      </w:hyperlink>
      <w:r>
        <w:t xml:space="preserve"> слова "соответствующих критериям, указанным в абзаце третьем пункта 1 настоящего постановления" заменить словами "за исключением компенсации выпадающих доходов газораспределительной организации от оказания услуг по технологическому присоединению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к газораспределительным сетям в отношении категории заявителей, указанных в абзаце втором пункта 26(22)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постановлением Правительства Российской Федерации от 29 декабря 2000 г.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Федерации.".</w:t>
      </w:r>
    </w:p>
    <w:p w:rsidR="006D1474" w:rsidRDefault="006D1474">
      <w:pPr>
        <w:pStyle w:val="ConsPlusNormal"/>
        <w:spacing w:before="20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16 мая 2020 г. N 702 "О внесении изменений в некоторые акты Правительства Российской Федерации по вопросам развития газификации субъектов Российской Федерации" (Собрание законодательства Российской Федерации, 2020, N 21, ст. 3282) </w:t>
      </w:r>
      <w:hyperlink r:id="rId22">
        <w:r>
          <w:rPr>
            <w:color w:val="0000FF"/>
          </w:rPr>
          <w:t>абзац второй пункта 3</w:t>
        </w:r>
      </w:hyperlink>
      <w:r>
        <w:t xml:space="preserve"> и </w:t>
      </w:r>
      <w:hyperlink r:id="rId23">
        <w:r>
          <w:rPr>
            <w:color w:val="0000FF"/>
          </w:rPr>
          <w:t>пункт 4</w:t>
        </w:r>
      </w:hyperlink>
      <w:r>
        <w:t xml:space="preserve"> признать утратившими силу.</w:t>
      </w:r>
    </w:p>
    <w:p w:rsidR="006D1474" w:rsidRDefault="006D1474">
      <w:pPr>
        <w:pStyle w:val="ConsPlusNormal"/>
        <w:jc w:val="both"/>
      </w:pPr>
    </w:p>
    <w:p w:rsidR="006D1474" w:rsidRDefault="006D1474">
      <w:pPr>
        <w:pStyle w:val="ConsPlusNormal"/>
        <w:jc w:val="both"/>
      </w:pPr>
    </w:p>
    <w:p w:rsidR="006D1474" w:rsidRDefault="006D14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75C" w:rsidRDefault="00B0575C">
      <w:bookmarkStart w:id="1" w:name="_GoBack"/>
      <w:bookmarkEnd w:id="1"/>
    </w:p>
    <w:sectPr w:rsidR="00B0575C" w:rsidSect="00BF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74"/>
    <w:rsid w:val="006D1474"/>
    <w:rsid w:val="00B0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B298-953A-4B15-9808-BBCCF785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4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14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D14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34B2DF9640C93611488A1479CCA57F49787C90355703A8A5EB5F43690E8FA88899CD064BC0E68C69D60B5CFB0877C0BC750A1D8ADAFJ" TargetMode="External"/><Relationship Id="rId13" Type="http://schemas.openxmlformats.org/officeDocument/2006/relationships/hyperlink" Target="consultantplus://offline/ref=ED434B2DF9640C93611488A1479CCA57F49787C90355703A8A5EB5F43690E8FA88899CD065B70E68C69D60B5CFB0877C0BC750A1D8ADAFJ" TargetMode="External"/><Relationship Id="rId18" Type="http://schemas.openxmlformats.org/officeDocument/2006/relationships/hyperlink" Target="consultantplus://offline/ref=ED434B2DF9640C93611488A1479CCA57F49A82C50056703A8A5EB5F43690E8FA88899CD66FE05478C2D435BFD1B69B630BD950AAA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434B2DF9640C93611488A1479CCA57F49A85C5025B703A8A5EB5F43690E8FA9A89C4DC64B31B3D95C737B8CDABA5J" TargetMode="External"/><Relationship Id="rId7" Type="http://schemas.openxmlformats.org/officeDocument/2006/relationships/hyperlink" Target="consultantplus://offline/ref=ED434B2DF9640C93611488A1479CCA57F49787C90355703A8A5EB5F43690E8FA88899CD064BC0E68C69D60B5CFB0877C0BC750A1D8ADAFJ" TargetMode="External"/><Relationship Id="rId12" Type="http://schemas.openxmlformats.org/officeDocument/2006/relationships/hyperlink" Target="consultantplus://offline/ref=ED434B2DF9640C93611488A1479CCA57F49787C90355703A8A5EB5F43690E8FA88899CD060B60E68C69D60B5CFB0877C0BC750A1D8ADAFJ" TargetMode="External"/><Relationship Id="rId17" Type="http://schemas.openxmlformats.org/officeDocument/2006/relationships/hyperlink" Target="consultantplus://offline/ref=ED434B2DF9640C93611488A1479CCA57F49A82C50056703A8A5EB5F43690E8FA88899CD76FE05478C2D435BFD1B69B630BD950AAA3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434B2DF9640C93611488A1479CCA57F49787C90355703A8A5EB5F43690E8FA88899CD56DBF516DD38C38B8C8A9987F17DB52A3ADA8J" TargetMode="External"/><Relationship Id="rId20" Type="http://schemas.openxmlformats.org/officeDocument/2006/relationships/hyperlink" Target="consultantplus://offline/ref=ED434B2DF9640C93611488A1479CCA57F49A82C50056703A8A5EB5F43690E8FA88899CD86FE05478C2D435BFD1B69B630BD950AAA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34B2DF9640C93611488A1479CCA57F49787C90355703A8A5EB5F43690E8FA88899CD56DBF516DD38C38B8C8A9987F17DB52A3ADA8J" TargetMode="External"/><Relationship Id="rId11" Type="http://schemas.openxmlformats.org/officeDocument/2006/relationships/hyperlink" Target="consultantplus://offline/ref=ED434B2DF9640C93611488A1479CCA57F49787C90355703A8A5EB5F43690E8FA88899CD060B60E68C69D60B5CFB0877C0BC750A1D8ADAF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D434B2DF9640C93611488A1479CCA57F49787C90355703A8A5EB5F43690E8FA88899CD56DBF516DD38C38B8C8A9987F17DB52A3ADA8J" TargetMode="External"/><Relationship Id="rId15" Type="http://schemas.openxmlformats.org/officeDocument/2006/relationships/hyperlink" Target="consultantplus://offline/ref=ED434B2DF9640C93611488A1479CCA57F49787C90355703A8A5EB5F43690E8FA88899CD060BD0E68C69D60B5CFB0877C0BC750A1D8ADAFJ" TargetMode="External"/><Relationship Id="rId23" Type="http://schemas.openxmlformats.org/officeDocument/2006/relationships/hyperlink" Target="consultantplus://offline/ref=ED434B2DF9640C93611488A1479CCA57F49A85C5025B703A8A5EB5F43690E8FA88899CD064B4053D97D261E98BE2947D0EC753A3C4DF15A7A0A9J" TargetMode="External"/><Relationship Id="rId10" Type="http://schemas.openxmlformats.org/officeDocument/2006/relationships/hyperlink" Target="consultantplus://offline/ref=ED434B2DF9640C93611488A1479CCA57F49787C90355703A8A5EB5F43690E8FA88899CD060B60E68C69D60B5CFB0877C0BC750A1D8ADAFJ" TargetMode="External"/><Relationship Id="rId19" Type="http://schemas.openxmlformats.org/officeDocument/2006/relationships/hyperlink" Target="consultantplus://offline/ref=ED434B2DF9640C93611488A1479CCA57F49A82C50056703A8A5EB5F43690E8FA88899CD96FE05478C2D435BFD1B69B630BD950AAA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434B2DF9640C93611488A1479CCA57F49787C90355703A8A5EB5F43690E8FA88899CD065B50E68C69D60B5CFB0877C0BC750A1D8ADAFJ" TargetMode="External"/><Relationship Id="rId14" Type="http://schemas.openxmlformats.org/officeDocument/2006/relationships/hyperlink" Target="consultantplus://offline/ref=ED434B2DF9640C93611488A1479CCA57F49787C90355703A8A5EB5F43690E8FA88899CD962BF516DD38C38B8C8A9987F17DB52A3ADA8J" TargetMode="External"/><Relationship Id="rId22" Type="http://schemas.openxmlformats.org/officeDocument/2006/relationships/hyperlink" Target="consultantplus://offline/ref=ED434B2DF9640C93611488A1479CCA57F49A85C5025B703A8A5EB5F43690E8FA88899CD064B4053C9FD261E98BE2947D0EC753A3C4DF15A7A0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Олег Викторович</dc:creator>
  <cp:keywords/>
  <dc:description/>
  <cp:lastModifiedBy>Маврин Олег Викторович</cp:lastModifiedBy>
  <cp:revision>1</cp:revision>
  <dcterms:created xsi:type="dcterms:W3CDTF">2022-12-07T09:00:00Z</dcterms:created>
  <dcterms:modified xsi:type="dcterms:W3CDTF">2022-12-07T09:00:00Z</dcterms:modified>
</cp:coreProperties>
</file>