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D" w:rsidRDefault="005F69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69CD" w:rsidRDefault="005F69CD">
      <w:pPr>
        <w:pStyle w:val="ConsPlusNormal"/>
        <w:outlineLvl w:val="0"/>
      </w:pPr>
    </w:p>
    <w:p w:rsidR="005F69CD" w:rsidRDefault="005F69C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предложении по установлению пониженных тарифов страховых взносов для ТСЖ и ТСН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5F69CD" w:rsidRDefault="005F69CD">
      <w:pPr>
        <w:pStyle w:val="ConsPlusNormal"/>
      </w:pPr>
    </w:p>
    <w:p w:rsidR="005F69CD" w:rsidRDefault="005F69CD">
      <w:pPr>
        <w:pStyle w:val="ConsPlusNormal"/>
        <w:ind w:firstLine="540"/>
        <w:jc w:val="both"/>
      </w:pPr>
      <w:r>
        <w:rPr>
          <w:b/>
        </w:rPr>
        <w:t>Ответ:</w:t>
      </w:r>
    </w:p>
    <w:p w:rsidR="005F69CD" w:rsidRDefault="005F69CD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5F69CD" w:rsidRDefault="005F69CD">
      <w:pPr>
        <w:pStyle w:val="ConsPlusTitle"/>
        <w:jc w:val="center"/>
      </w:pPr>
    </w:p>
    <w:p w:rsidR="005F69CD" w:rsidRDefault="005F69CD">
      <w:pPr>
        <w:pStyle w:val="ConsPlusTitle"/>
        <w:jc w:val="center"/>
      </w:pPr>
      <w:r>
        <w:t>ПИСЬМО</w:t>
      </w:r>
    </w:p>
    <w:p w:rsidR="005F69CD" w:rsidRDefault="005F69CD">
      <w:pPr>
        <w:pStyle w:val="ConsPlusTitle"/>
        <w:jc w:val="center"/>
      </w:pPr>
      <w:r>
        <w:t>от 15 октября 2020 г. N 03-15-05/89967</w:t>
      </w:r>
    </w:p>
    <w:p w:rsidR="005F69CD" w:rsidRDefault="005F69CD">
      <w:pPr>
        <w:pStyle w:val="ConsPlusNormal"/>
      </w:pPr>
    </w:p>
    <w:p w:rsidR="005F69CD" w:rsidRDefault="005F69CD">
      <w:pPr>
        <w:pStyle w:val="ConsPlusNormal"/>
        <w:ind w:firstLine="540"/>
        <w:jc w:val="both"/>
      </w:pPr>
      <w:r>
        <w:t>Департамент налоговой политики рассмотрел обращение по вопросу об установлении пониженных тарифов страховых взносов для товариществ собственников жилья и товариществ собственников недвижимости (далее - ТСЖ и ТСН) по аналогии как для субъектов малого и среднего предпринимательства (далее - субъекты МСП) и сообщает следующее.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 xml:space="preserve">Президентом Российской Федерации Путиным В.В. в обращении к населению 25 марта 2020 г. в связи с ситуацией,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 территории страны, в качестве одной из мер поддержки бизнеса было озвучено решение по снижению в два раза только для субъектов МСП тарифов страховых взносов с 30% до 15% в отношении части выплат и иных вознаграждений в пользу физических лиц, превышающей в течение месяца минимальный размер оплаты труда (далее - МРОТ).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 xml:space="preserve">В связи с этим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для субъектов МСП, признаваемых таковыми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N 209-ФЗ), установлены начиная с 1 апреля 2020 года на бессрочный период пониженные тарифы страховых взносов в совокупном размере 15% с части ежемесячных выплат в пользу физических лиц, </w:t>
      </w:r>
      <w:r w:rsidRPr="00E32DB4">
        <w:rPr>
          <w:highlight w:val="yellow"/>
        </w:rPr>
        <w:t>превышающей величину МРОТ</w:t>
      </w:r>
      <w:r>
        <w:t>, установленного федеральным законом на начало расчетного периода.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>Таким образом, если хозяйствующие субъекты признаются субъектами МСП, то независимо от вида осуществляемой экономической деятельности они вправе применять вышеупомянутые пониженные тарифы страховых взносов с 1-го числа месяца, в котором сведения о них внесены в единый реестр субъектов МСП, но не ранее 1 апреля 2020 года.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 xml:space="preserve">Согласно Федеральному </w:t>
      </w:r>
      <w:hyperlink r:id="rId7">
        <w:r>
          <w:rPr>
            <w:color w:val="0000FF"/>
          </w:rPr>
          <w:t>закону</w:t>
        </w:r>
      </w:hyperlink>
      <w:r>
        <w:t xml:space="preserve"> N 209-ФЗ к субъектам МСП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8">
        <w:r>
          <w:rPr>
            <w:color w:val="0000FF"/>
          </w:rPr>
          <w:t>частью 1.1 статьи 4</w:t>
        </w:r>
      </w:hyperlink>
      <w:r>
        <w:t xml:space="preserve"> Федерального закона N 209-ФЗ,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0C265F">
        <w:rPr>
          <w:highlight w:val="yellow"/>
        </w:rPr>
        <w:t>сведения о которых внесены в единый реестр субъектов МСП</w:t>
      </w:r>
      <w:r>
        <w:t>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9">
        <w:r>
          <w:rPr>
            <w:color w:val="0000FF"/>
          </w:rPr>
          <w:t>пункта 1 статьи 50</w:t>
        </w:r>
      </w:hyperlink>
      <w:r>
        <w:t xml:space="preserve"> Гражданского кодекса Российской Федерации деятельность коммерческих организаций, направленная на систематическое извлечение прибыли, отграничена от деятельности некоммерческих организаций (в том числе ТСЖ и ТСН), целью которых не является извлечение прибыли.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>Размытие границ между коммерческим и некоммерческим секторами может снизить эффективность государственной поддержки предпринимательской деятельности.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lastRenderedPageBreak/>
        <w:t>Дополнительные меры государственной поддержки не должны затрагивать систему обязательного социального страхования, поскольку вопрос о предоставлении тех или иных мер поддержки в части уплаты страховых взносов должен рассматриваться в увязке с соблюдением прав застрахованных лиц в системе обязательного социального страхования и источниками финансирования доходов бюджетов государственных внебюджетных фондов, за счет средств которых должны обеспечиваться государственные социальные гарантии граждан.</w:t>
      </w:r>
    </w:p>
    <w:p w:rsidR="005F69CD" w:rsidRDefault="005F69CD">
      <w:pPr>
        <w:pStyle w:val="ConsPlusNormal"/>
        <w:spacing w:before="220"/>
        <w:ind w:firstLine="540"/>
        <w:jc w:val="both"/>
      </w:pPr>
      <w:r>
        <w:t xml:space="preserve">Учитывая, что в сегодняшней ситуации расходы на социальные обязательства государства возрастают, </w:t>
      </w:r>
      <w:r w:rsidRPr="000C265F">
        <w:rPr>
          <w:highlight w:val="yellow"/>
        </w:rPr>
        <w:t>предложения по предоставлению мер поддержки для некоммерческих организаций</w:t>
      </w:r>
      <w:r>
        <w:t xml:space="preserve"> - ТСЖ и ТСН, которые приведут к снижению поступлений сумм страховых взносов в бюджеты государственных внебюджетных фондов, </w:t>
      </w:r>
      <w:r w:rsidRPr="008A37C4">
        <w:rPr>
          <w:highlight w:val="yellow"/>
        </w:rPr>
        <w:t>поддержать не представляется возможным</w:t>
      </w:r>
      <w:bookmarkStart w:id="0" w:name="_GoBack"/>
      <w:bookmarkEnd w:id="0"/>
      <w:r>
        <w:t>.</w:t>
      </w:r>
    </w:p>
    <w:p w:rsidR="005F69CD" w:rsidRDefault="005F69CD">
      <w:pPr>
        <w:pStyle w:val="ConsPlusNormal"/>
      </w:pPr>
    </w:p>
    <w:p w:rsidR="005F69CD" w:rsidRDefault="005F69CD">
      <w:pPr>
        <w:pStyle w:val="ConsPlusNormal"/>
        <w:jc w:val="right"/>
      </w:pPr>
      <w:r>
        <w:t>Заместитель директора Департамента</w:t>
      </w:r>
    </w:p>
    <w:p w:rsidR="005F69CD" w:rsidRDefault="005F69CD">
      <w:pPr>
        <w:pStyle w:val="ConsPlusNormal"/>
        <w:jc w:val="right"/>
      </w:pPr>
      <w:r>
        <w:t>В.А.ПРОКАЕВ</w:t>
      </w:r>
    </w:p>
    <w:p w:rsidR="005F69CD" w:rsidRDefault="005F69CD">
      <w:pPr>
        <w:pStyle w:val="ConsPlusNormal"/>
      </w:pPr>
      <w:r>
        <w:t>15.10.2020</w:t>
      </w:r>
    </w:p>
    <w:p w:rsidR="005F69CD" w:rsidRDefault="005F69CD">
      <w:pPr>
        <w:pStyle w:val="ConsPlusNormal"/>
      </w:pPr>
    </w:p>
    <w:p w:rsidR="005F69CD" w:rsidRDefault="005F69CD">
      <w:pPr>
        <w:pStyle w:val="ConsPlusNormal"/>
      </w:pPr>
    </w:p>
    <w:p w:rsidR="005F69CD" w:rsidRDefault="005F6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60C" w:rsidRDefault="00CE160C"/>
    <w:sectPr w:rsidR="00CE160C" w:rsidSect="0067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CD"/>
    <w:rsid w:val="000C265F"/>
    <w:rsid w:val="005F69CD"/>
    <w:rsid w:val="008A37C4"/>
    <w:rsid w:val="00CE160C"/>
    <w:rsid w:val="00E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7434-B5D1-4014-A983-21E110B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6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6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9630E10C04AD1809D4EA5EE4A98E12A424603DFB678658046335A2056E172DC179A29DB8E33415F4AA2B8505772F401DC24EDC62z4P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9630E10C04AD1809D4EA5EE4A98E12A424603DFB678658046335A2056E172DD379FA91BEEC2141A7F07C8805z7P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9630E10C04AD1809D4EA5EE4A98E12A424603DFB678658046335A2056E172DC179A29DBCEB3C47A3E52AD943253C4218C24CDE7E45273Dz5P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9630E10C04AD1809D4EA5EE4A98E12A4256D38F66B8658046335A2056E172DD379FA91BEEC2141A7F07C8805z7P3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9630E10C04AD1809D4EA5EE4A98E12A4246C30FC6A8658046335A2056E172DC179A29DBCEB3D49A4E52AD943253C4218C24CDE7E45273Dz5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Маврин Олег Викторович</cp:lastModifiedBy>
  <cp:revision>4</cp:revision>
  <dcterms:created xsi:type="dcterms:W3CDTF">2023-02-27T11:15:00Z</dcterms:created>
  <dcterms:modified xsi:type="dcterms:W3CDTF">2023-02-27T12:05:00Z</dcterms:modified>
</cp:coreProperties>
</file>